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9.png" ContentType="image/png"/>
  <Override PartName="/word/media/rId29.png" ContentType="image/png"/>
  <Override PartName="/word/media/rId53.png" ContentType="image/png"/>
  <Override PartName="/word/media/rId58.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38"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26" w:name="the-acclen-and-growth-symmetry-analysis"/>
    <w:p>
      <w:pPr>
        <w:pStyle w:val="Heading2"/>
      </w:pPr>
      <w:r>
        <w:t xml:space="preserve">The AccLen and growth symmetry analysis</w:t>
      </w:r>
    </w:p>
    <w:p>
      <w:pPr>
        <w:pStyle w:val="FirstParagraph"/>
      </w:pPr>
      <w:r>
        <w:t xml:space="preserve">xxxx Add proper text here Sylwia!!!</w:t>
      </w:r>
    </w:p>
    <w:bookmarkEnd w:id="26"/>
    <w:bookmarkStart w:id="27"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(Tab. S1 in the Supplementary materials).</w:t>
      </w:r>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429499"/>
            <wp:effectExtent b="0" l="0" r="0" t="0"/>
            <wp:docPr descr="Figure 1: Example of representative whole-cell absorbance spectra of PC-rich (solid green lines) or PE-rich (dashed red lines)cultures of Synechococcus sp., normalized to absorbance at 440 nm, measured from the the exponential or pre-stationary phases of growth, together with emission spectra of the white LED lamps (Photosynthetically Active Radiation (PAR), normalized to emission at 440 nm (light gray area), of 300 µmol photons m−2s−1) used for culture growth. Estimated Photosynthetically Usable Radiation (PUR) is shown as a green area for the PC-rich strain and a red area for the PE-rich strain. Peaks characteristic of known pigments are labelled; Chl a, chlorophyll a; PC, phycocyanin; PEB-rich PE, phycoerythin-rich phycoerythrin; PUB-rich PE, phycourobilin-rich phycoerythrin, 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 Example of representative whole-cell absorbance spectra of PC-rich (solid green lines) or PE-rich (dashed red lines)cultures of</w:t>
      </w:r>
      <w:r>
        <w:t xml:space="preserve"> </w:t>
      </w:r>
      <w:r>
        <w:rPr>
          <w:iCs/>
          <w:i/>
        </w:rPr>
        <w:t xml:space="preserve">Synechococcus</w:t>
      </w:r>
      <w:r>
        <w:t xml:space="preserve"> </w:t>
      </w:r>
      <w:r>
        <w:t xml:space="preserve">sp., normalized to absorbance at 440 nm, measured from the the exponential or pre-stationary phases of growth, together with emission spectra of the white LED lamps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the PE-rich strain.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(Tab. S2 in the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4"/>
    <w:bookmarkStart w:id="35"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5"/>
    <w:bookmarkStart w:id="36"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6"/>
    <w:bookmarkStart w:id="37"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[26,27]</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anova() function will take the model objects as arguments, and return an ANOVA testing whether the more complex model is significantly better at capturing the data than the simpler model. If the resulting p-value is sufficiently low (usually less than 0.05), we conclude that the more complex model is significantly better than the simpler model, and thus favor the more complex model. If the p-value is not sufficiently low (usually greater than 0.05), we should favor the simpler model.</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[29]</w:t>
      </w:r>
      <w:r>
        <w:t xml:space="preserve"> </w:t>
      </w:r>
      <w:r>
        <w:t xml:space="preserve">running under RStudio</w:t>
      </w:r>
      <w:r>
        <w:t xml:space="preserve"> </w:t>
      </w:r>
      <w:r>
        <w:t xml:space="preserve">[30]</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[31]</w:t>
      </w:r>
      <w:r>
        <w:t xml:space="preserve">. Figures were plotted using</w:t>
      </w:r>
      <w:r>
        <w:t xml:space="preserve"> </w:t>
      </w:r>
      <w:r>
        <w:t xml:space="preserve">“</w:t>
      </w:r>
      <w:r>
        <w:t xml:space="preserve">ggplot</w:t>
      </w:r>
      <w:r>
        <w:t xml:space="preserve">”</w:t>
      </w:r>
      <w:r>
        <w:t xml:space="preserve"> </w:t>
      </w:r>
      <w:r>
        <w:t xml:space="preserve">[32]</w:t>
      </w:r>
      <w:r>
        <w:t xml:space="preserve"> </w:t>
      </w:r>
      <w:r>
        <w:t xml:space="preserve">R package.</w:t>
      </w:r>
    </w:p>
    <w:bookmarkEnd w:id="37"/>
    <w:bookmarkEnd w:id="38"/>
    <w:bookmarkStart w:id="67" w:name="results"/>
    <w:p>
      <w:pPr>
        <w:pStyle w:val="Heading1"/>
      </w:pPr>
      <w:r>
        <w:t xml:space="preserve">Results</w:t>
      </w:r>
    </w:p>
    <w:bookmarkStart w:id="43" w:name="X3c4de26526443418ca9ef70653fbb6a4bace88d"/>
    <w:p>
      <w:pPr>
        <w:pStyle w:val="Heading2"/>
      </w:pPr>
      <w:r>
        <w:t xml:space="preserve">Changes in chlorophyll specific exponential growth rate</w:t>
      </w:r>
    </w:p>
    <w:p>
      <w:pPr>
        <w:pStyle w:val="CaptionedFigure"/>
      </w:pPr>
      <w:r>
        <w:drawing>
          <wp:inline>
            <wp:extent cx="5943600" cy="7429499"/>
            <wp:effectExtent b="0" l="0" r="0" t="0"/>
            <wp:docPr descr="Figure 2: Chlorophyll specific exponential growth rate, estimated from logistic fits of chlorophyll proxy OD680-OD720 vs. elapsed time, for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Growth rates (+/- SE from logistic model; SE falls within symbol sizes) are plotted vs. cumulative diel µmol photons m−2d−1. Solid blue line shows fit of the pooled data with a three parameter model (Harrison and Platt, 1986). We also fit the same model for chlorophyll specific exponential growth rate across 8 (dotted line), 12 (longdash line), 16 (dashed line), or 24 (twodash line) h photoperiod, since they were significantly different (ANOVA, p &lt; 0.05) from the fit of pooled data." title="" id="40" name="Picture"/>
            <a:graphic>
              <a:graphicData uri="http://schemas.openxmlformats.org/drawingml/2006/picture">
                <pic:pic>
                  <pic:nvPicPr>
                    <pic:cNvPr descr="../Output/Figures/Fig_GrowthRate_Photoperiod.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2" w:name="fig:GrowthRatePhotoperiod"/>
      <w:bookmarkEnd w:id="42"/>
      <w:r>
        <w:t xml:space="preserve">Figure 2: Chlorophyll specific exponential growth rate,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the same model for chlorophyll specific exponential growth rate across 8 (dotted line), 12 (longdash line), 16 (dashed line), or 24 (twodash line) h photoperiod, since they were significantly different (ANOVA,</w:t>
      </w:r>
      <w:r>
        <w:t xml:space="preserve"> </w:t>
      </w:r>
      <w:r>
        <w:rPr>
          <w:iCs/>
          <w:i/>
        </w:rPr>
        <w:t xml:space="preserve">p</w:t>
      </w:r>
      <w:r>
        <w:t xml:space="preserve"> </w:t>
      </w:r>
      <w:r>
        <w:t xml:space="preserve">&lt; 0.05) from the fit of pooled data.</w:t>
      </w:r>
    </w:p>
    <w:bookmarkEnd w:id="43"/>
    <w:bookmarkStart w:id="52" w:name="changes-of-diel-growth-symmetry"/>
    <w:p>
      <w:pPr>
        <w:pStyle w:val="Heading2"/>
      </w:pPr>
      <w:r>
        <w:t xml:space="preserve">Changes of diel growth symmetry</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or from pre-stationary growth phase." title="" id="45" name="Picture"/>
            <a:graphic>
              <a:graphicData uri="http://schemas.openxmlformats.org/drawingml/2006/picture">
                <pic:pic>
                  <pic:nvPicPr>
                    <pic:cNvPr descr="../Output/Figures/Fig_AccLen.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7" w:name="fig:AccLen"/>
      <w:bookmarkEnd w:id="47"/>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Index of diel growth symmetry (AccLen/DecLen), for two PhycoCyanin(PC)-rich cultures (056, 077) and two PhycoErythrin(PE)-rich cultures (048, 127) (Culture Collection of Baltic Algae) of Synechococcus sp. grown at 30, 90, 180, 300, or 900 peak PAR µmol photons m−2s−1; and photoperiods of 8, 12, or 16 h. Figure represents all data (small symbols) and means (big symbols) for n = 0-5 day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49" name="Picture"/>
            <a:graphic>
              <a:graphicData uri="http://schemas.openxmlformats.org/drawingml/2006/picture">
                <pic:pic>
                  <pic:nvPicPr>
                    <pic:cNvPr descr="../Output/Figures/Fig_GS.png" id="50" name="Picture"/>
                    <pic:cNvPicPr>
                      <a:picLocks noChangeArrowheads="1" noChangeAspect="1"/>
                    </pic:cNvPicPr>
                  </pic:nvPicPr>
                  <pic:blipFill>
                    <a:blip r:embed="rId4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1" w:name="fig:GS"/>
      <w:bookmarkEnd w:id="51"/>
      <w:r>
        <w:t xml:space="preserve">Figure 4: Index of diel growth symmetry (AccLen/DecLen),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Figure represents all data (small symbols) and means (big symbols) for n = 0-5 days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bookmarkEnd w:id="52"/>
    <w:bookmarkStart w:id="57" w:name="changes-of-purpar-ratio"/>
    <w:p>
      <w:pPr>
        <w:pStyle w:val="Heading2"/>
      </w:pPr>
      <w:r>
        <w:t xml:space="preserve">Changes of PUR/PAR ratio</w:t>
      </w:r>
    </w:p>
    <w:p>
      <w:pPr>
        <w:pStyle w:val="CaptionedFigure"/>
      </w:pPr>
      <w:r>
        <w:drawing>
          <wp:inline>
            <wp:extent cx="5943600" cy="7429499"/>
            <wp:effectExtent b="0" l="0" r="0" t="0"/>
            <wp:docPr descr="Figure 5: Changes of PUR/PAR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54" name="Picture"/>
            <a:graphic>
              <a:graphicData uri="http://schemas.openxmlformats.org/drawingml/2006/picture">
                <pic:pic>
                  <pic:nvPicPr>
                    <pic:cNvPr descr="../Output/Figures/Fig_PURPARRatio.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PURPARRatio"/>
      <w:bookmarkEnd w:id="56"/>
      <w:r>
        <w:t xml:space="preserve">Figure 5: Changes of PUR/PAR 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bookmarkEnd w:id="57"/>
    <w:bookmarkStart w:id="66" w:name="X07be7ca315362af814ea6c377136ba89340184d"/>
    <w:p>
      <w:pPr>
        <w:pStyle w:val="Heading2"/>
      </w:pPr>
      <w:r>
        <w:t xml:space="preserve">Changes effective absorption cross section of PSII</w:t>
      </w:r>
    </w:p>
    <w:p>
      <w:pPr>
        <w:pStyle w:val="CaptionedFigure"/>
      </w:pPr>
      <w:r>
        <w:drawing>
          <wp:inline>
            <wp:extent cx="5943600" cy="7429499"/>
            <wp:effectExtent b="0" l="0" r="0" t="0"/>
            <wp:docPr descr="Figure 6: Effective absorption cross section of PSII (σPSII’; nm2 quanta-1) measured under diel peak PAR growth light under Ex590 nm (orang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59" name="Picture"/>
            <a:graphic>
              <a:graphicData uri="http://schemas.openxmlformats.org/drawingml/2006/picture">
                <pic:pic>
                  <pic:nvPicPr>
                    <pic:cNvPr descr="../Output/Figures/Fig_Sigma590.png" id="60" name="Picture"/>
                    <pic:cNvPicPr>
                      <a:picLocks noChangeArrowheads="1" noChangeAspect="1"/>
                    </pic:cNvPicPr>
                  </pic:nvPicPr>
                  <pic:blipFill>
                    <a:blip r:embed="rId5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1" w:name="fig:Sigma590"/>
      <w:bookmarkEnd w:id="61"/>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7: Changes of effective absorption cross section of PSII (σPSII’; nm2 quanta-1) measured under diel peak PAR growth light under Ex590 nm (orange) excitation in relation to the total Phyco/Chl a ratio of two PhycoCyanin(PC)-rich cultures (Culture Collection of Baltic Algae; 056, 077) and two PhycoErythrin(PE)-rich cultures (Culture Collection of Baltic Algae; 048, 127)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63" name="Picture"/>
            <a:graphic>
              <a:graphicData uri="http://schemas.openxmlformats.org/drawingml/2006/picture">
                <pic:pic>
                  <pic:nvPicPr>
                    <pic:cNvPr descr="../Output/Figures/Fig_SigmaPig590.png" id="64" name="Picture"/>
                    <pic:cNvPicPr>
                      <a:picLocks noChangeArrowheads="1" noChangeAspect="1"/>
                    </pic:cNvPicPr>
                  </pic:nvPicPr>
                  <pic:blipFill>
                    <a:blip r:embed="rId6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5" w:name="fig:SigmaPig590"/>
      <w:bookmarkEnd w:id="65"/>
      <w:r>
        <w:t xml:space="preserve">Figure 7: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bookmarkEnd w:id="66"/>
    <w:bookmarkEnd w:id="67"/>
    <w:bookmarkStart w:id="72" w:name="discussion"/>
    <w:p>
      <w:pPr>
        <w:pStyle w:val="Heading1"/>
      </w:pPr>
      <w:r>
        <w:t xml:space="preserve">Discussion</w:t>
      </w:r>
    </w:p>
    <w:bookmarkStart w:id="68"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[2,33,34]</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8"/>
    <w:bookmarkStart w:id="69"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[18,35,36]</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[37–39]</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[40–42]</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37,38,39,43]</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9"/>
    <w:bookmarkStart w:id="70"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[23,45]</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0"/>
    <w:bookmarkStart w:id="71"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1"/>
    <w:bookmarkEnd w:id="72"/>
    <w:bookmarkStart w:id="73"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3"/>
    <w:bookmarkStart w:id="163" w:name="references"/>
    <w:p>
      <w:pPr>
        <w:pStyle w:val="Heading1"/>
      </w:pPr>
      <w:r>
        <w:t xml:space="preserve">References</w:t>
      </w:r>
    </w:p>
    <w:bookmarkStart w:id="162" w:name="refs"/>
    <w:bookmarkStart w:id="75"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4">
        <w:r>
          <w:rPr>
            <w:rStyle w:val="Hyperlink"/>
          </w:rPr>
          <w:t xml:space="preserve">10.1146/annurev-marine-010213-135103</w:t>
        </w:r>
      </w:hyperlink>
    </w:p>
    <w:bookmarkEnd w:id="75"/>
    <w:bookmarkStart w:id="77"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6">
        <w:r>
          <w:rPr>
            <w:rStyle w:val="Hyperlink"/>
          </w:rPr>
          <w:t xml:space="preserve">10.1086/338511</w:t>
        </w:r>
      </w:hyperlink>
    </w:p>
    <w:bookmarkEnd w:id="77"/>
    <w:bookmarkStart w:id="79"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8">
        <w:r>
          <w:rPr>
            <w:rStyle w:val="Hyperlink"/>
          </w:rPr>
          <w:t xml:space="preserve">10.1038/s41559-020-01330-x</w:t>
        </w:r>
      </w:hyperlink>
    </w:p>
    <w:bookmarkEnd w:id="79"/>
    <w:bookmarkStart w:id="81"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0">
        <w:r>
          <w:rPr>
            <w:rStyle w:val="Hyperlink"/>
          </w:rPr>
          <w:t xml:space="preserve">10.1038/nature05317</w:t>
        </w:r>
      </w:hyperlink>
    </w:p>
    <w:bookmarkEnd w:id="81"/>
    <w:bookmarkStart w:id="83"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2">
        <w:r>
          <w:rPr>
            <w:rStyle w:val="Hyperlink"/>
          </w:rPr>
          <w:t xml:space="preserve">10.1038/nclimate3147</w:t>
        </w:r>
      </w:hyperlink>
    </w:p>
    <w:bookmarkEnd w:id="83"/>
    <w:bookmarkStart w:id="85"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4">
        <w:r>
          <w:rPr>
            <w:rStyle w:val="Hyperlink"/>
          </w:rPr>
          <w:t xml:space="preserve">10.1093/plankt/fbv008</w:t>
        </w:r>
      </w:hyperlink>
    </w:p>
    <w:bookmarkEnd w:id="85"/>
    <w:bookmarkStart w:id="87"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6">
        <w:r>
          <w:rPr>
            <w:rStyle w:val="Hyperlink"/>
          </w:rPr>
          <w:t xml:space="preserve">10.4319/lo.1999.44.1.0052</w:t>
        </w:r>
      </w:hyperlink>
    </w:p>
    <w:bookmarkEnd w:id="87"/>
    <w:bookmarkStart w:id="88"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8"/>
    <w:bookmarkStart w:id="90"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9">
        <w:r>
          <w:rPr>
            <w:rStyle w:val="Hyperlink"/>
          </w:rPr>
          <w:t xml:space="preserve">10.1073/pnas.1307701110</w:t>
        </w:r>
      </w:hyperlink>
    </w:p>
    <w:bookmarkEnd w:id="90"/>
    <w:bookmarkStart w:id="92"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1">
        <w:r>
          <w:rPr>
            <w:rStyle w:val="Hyperlink"/>
          </w:rPr>
          <w:t xml:space="preserve">https://www.jstor.org/stable/24852252</w:t>
        </w:r>
      </w:hyperlink>
    </w:p>
    <w:bookmarkEnd w:id="92"/>
    <w:bookmarkStart w:id="93"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3"/>
    <w:bookmarkStart w:id="95"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4">
        <w:r>
          <w:rPr>
            <w:rStyle w:val="Hyperlink"/>
          </w:rPr>
          <w:t xml:space="preserve">10.1016/j.rse.2020.111704</w:t>
        </w:r>
      </w:hyperlink>
    </w:p>
    <w:bookmarkEnd w:id="95"/>
    <w:bookmarkStart w:id="97"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6">
        <w:r>
          <w:rPr>
            <w:rStyle w:val="Hyperlink"/>
          </w:rPr>
          <w:t xml:space="preserve">10.1029/1999JC000308</w:t>
        </w:r>
      </w:hyperlink>
    </w:p>
    <w:bookmarkEnd w:id="97"/>
    <w:bookmarkStart w:id="99"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8">
        <w:r>
          <w:rPr>
            <w:rStyle w:val="Hyperlink"/>
          </w:rPr>
          <w:t xml:space="preserve">10.1017/S0025315406014287</w:t>
        </w:r>
      </w:hyperlink>
    </w:p>
    <w:bookmarkEnd w:id="99"/>
    <w:bookmarkStart w:id="101"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0">
        <w:r>
          <w:rPr>
            <w:rStyle w:val="Hyperlink"/>
          </w:rPr>
          <w:t xml:space="preserve">10.5194/bg-8-311-2011</w:t>
        </w:r>
      </w:hyperlink>
    </w:p>
    <w:bookmarkEnd w:id="101"/>
    <w:bookmarkStart w:id="103"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2">
        <w:r>
          <w:rPr>
            <w:rStyle w:val="Hyperlink"/>
          </w:rPr>
          <w:t xml:space="preserve">10.1073/pnas.2111300118</w:t>
        </w:r>
      </w:hyperlink>
    </w:p>
    <w:bookmarkEnd w:id="103"/>
    <w:bookmarkStart w:id="105"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4">
        <w:r>
          <w:rPr>
            <w:rStyle w:val="Hyperlink"/>
          </w:rPr>
          <w:t xml:space="preserve">10.1038/ismej.2008.118</w:t>
        </w:r>
      </w:hyperlink>
    </w:p>
    <w:bookmarkEnd w:id="105"/>
    <w:bookmarkStart w:id="107"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6">
        <w:r>
          <w:rPr>
            <w:rStyle w:val="Hyperlink"/>
          </w:rPr>
          <w:t xml:space="preserve">10.1111/1462-2920.16384</w:t>
        </w:r>
      </w:hyperlink>
    </w:p>
    <w:bookmarkEnd w:id="107"/>
    <w:bookmarkStart w:id="109"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8">
        <w:r>
          <w:rPr>
            <w:rStyle w:val="Hyperlink"/>
          </w:rPr>
          <w:t xml:space="preserve">10.1371/journal.pone.0001341</w:t>
        </w:r>
      </w:hyperlink>
    </w:p>
    <w:bookmarkEnd w:id="109"/>
    <w:bookmarkStart w:id="111"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0">
        <w:r>
          <w:rPr>
            <w:rStyle w:val="Hyperlink"/>
          </w:rPr>
          <w:t xml:space="preserve">10.1007/978-1-4615-8714-9_3</w:t>
        </w:r>
      </w:hyperlink>
    </w:p>
    <w:bookmarkEnd w:id="111"/>
    <w:bookmarkStart w:id="112"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2"/>
    <w:bookmarkStart w:id="114"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3">
        <w:r>
          <w:rPr>
            <w:rStyle w:val="Hyperlink"/>
          </w:rPr>
          <w:t xml:space="preserve">10.1016/j.jphotobiol.2005.10.002</w:t>
        </w:r>
      </w:hyperlink>
    </w:p>
    <w:bookmarkEnd w:id="114"/>
    <w:bookmarkStart w:id="116"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5">
        <w:r>
          <w:rPr>
            <w:rStyle w:val="Hyperlink"/>
          </w:rPr>
          <w:t xml:space="preserve">10.1016/0146-6291(78)90623-9</w:t>
        </w:r>
      </w:hyperlink>
    </w:p>
    <w:bookmarkEnd w:id="116"/>
    <w:bookmarkStart w:id="118"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7">
        <w:r>
          <w:rPr>
            <w:rStyle w:val="Hyperlink"/>
          </w:rPr>
          <w:t xml:space="preserve">DOI: http://dx.doi.org/10.25607/OBP-1791</w:t>
        </w:r>
      </w:hyperlink>
    </w:p>
    <w:bookmarkEnd w:id="118"/>
    <w:bookmarkStart w:id="120"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9">
        <w:r>
          <w:rPr>
            <w:rStyle w:val="Hyperlink"/>
          </w:rPr>
          <w:t xml:space="preserve">10.1083/jcb.58.2.419</w:t>
        </w:r>
      </w:hyperlink>
    </w:p>
    <w:bookmarkEnd w:id="120"/>
    <w:bookmarkStart w:id="122" w:name="Xee811308fea44468c20c433e31869b4238a03bf"/>
    <w:p>
      <w:pPr>
        <w:pStyle w:val="Bibliography"/>
      </w:pPr>
      <w:r>
        <w:t xml:space="preserve">26.</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21">
        <w:r>
          <w:rPr>
            <w:rStyle w:val="Hyperlink"/>
          </w:rPr>
          <w:t xml:space="preserve">10.1191/0962280206sm426oa</w:t>
        </w:r>
      </w:hyperlink>
    </w:p>
    <w:bookmarkEnd w:id="122"/>
    <w:bookmarkStart w:id="124" w:name="X0ecd0f0376b75f78833d7f092f5d30fc5a96881"/>
    <w:p>
      <w:pPr>
        <w:pStyle w:val="Bibliography"/>
      </w:pPr>
      <w:r>
        <w:t xml:space="preserve">27.</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23">
        <w:r>
          <w:rPr>
            <w:rStyle w:val="Hyperlink"/>
          </w:rPr>
          <w:t xml:space="preserve">10.1080/00220973.1956.11010542</w:t>
        </w:r>
      </w:hyperlink>
    </w:p>
    <w:bookmarkEnd w:id="124"/>
    <w:bookmarkStart w:id="126"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25">
        <w:r>
          <w:rPr>
            <w:rStyle w:val="Hyperlink"/>
          </w:rPr>
          <w:t xml:space="preserve">10.1002/bimj.19750170808</w:t>
        </w:r>
      </w:hyperlink>
    </w:p>
    <w:bookmarkEnd w:id="126"/>
    <w:bookmarkStart w:id="127" w:name="X34c1da91b17f38eae0f17d00d2af03fe74097ca"/>
    <w:p>
      <w:pPr>
        <w:pStyle w:val="Bibliography"/>
      </w:pPr>
      <w:r>
        <w:t xml:space="preserve">29.</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7"/>
    <w:bookmarkStart w:id="128" w:name="X31962ef1e92b8b89eb060ad83f2ed64ae043171"/>
    <w:p>
      <w:pPr>
        <w:pStyle w:val="Bibliography"/>
      </w:pPr>
      <w:r>
        <w:t xml:space="preserve">30.</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8"/>
    <w:bookmarkStart w:id="129" w:name="ref-handelAndreasHandelCustom2020"/>
    <w:p>
      <w:pPr>
        <w:pStyle w:val="Bibliography"/>
      </w:pPr>
      <w:r>
        <w:t xml:space="preserve">31.</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29"/>
    <w:bookmarkStart w:id="131" w:name="ref-wickhamDataAnalysis2016"/>
    <w:p>
      <w:pPr>
        <w:pStyle w:val="Bibliography"/>
      </w:pPr>
      <w:r>
        <w:t xml:space="preserve">32.</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0">
        <w:r>
          <w:rPr>
            <w:rStyle w:val="Hyperlink"/>
          </w:rPr>
          <w:t xml:space="preserve">10.1007/978-3-319-24277-4_9</w:t>
        </w:r>
      </w:hyperlink>
    </w:p>
    <w:bookmarkEnd w:id="131"/>
    <w:bookmarkStart w:id="133" w:name="X674c42b2835df44d4d11505df44e95bf061f4a3"/>
    <w:p>
      <w:pPr>
        <w:pStyle w:val="Bibliography"/>
      </w:pPr>
      <w:r>
        <w:t xml:space="preserve">33.</w:t>
      </w:r>
      <w:r>
        <w:t xml:space="preserve"> </w:t>
      </w:r>
      <w:r>
        <w:t xml:space="preserve">	</w:t>
      </w:r>
      <w:r>
        <w:t xml:space="preserve">Alberte RS, Tel-Or E, Packer L, Thornber JP. Functional organisation of the photo-synthetic apparatus in heterocysts of nitrogen-fixing cyanobacteria. Nature. 1980;284: 481–483. doi:</w:t>
      </w:r>
      <w:hyperlink r:id="rId132">
        <w:r>
          <w:rPr>
            <w:rStyle w:val="Hyperlink"/>
          </w:rPr>
          <w:t xml:space="preserve">10.1038/284481a0</w:t>
        </w:r>
      </w:hyperlink>
    </w:p>
    <w:bookmarkEnd w:id="133"/>
    <w:bookmarkStart w:id="135" w:name="X0484b3dfebfaa14160c541e1fe2290095bae149"/>
    <w:p>
      <w:pPr>
        <w:pStyle w:val="Bibliography"/>
      </w:pPr>
      <w:r>
        <w:t xml:space="preserve">34.</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4">
        <w:r>
          <w:rPr>
            <w:rStyle w:val="Hyperlink"/>
          </w:rPr>
          <w:t xml:space="preserve">10.1007/978-3-030-90383-1_9</w:t>
        </w:r>
      </w:hyperlink>
    </w:p>
    <w:bookmarkEnd w:id="135"/>
    <w:bookmarkStart w:id="137" w:name="X92c5ea3ee71b2ad417094f4aecb6bbb92c05f75"/>
    <w:p>
      <w:pPr>
        <w:pStyle w:val="Bibliography"/>
      </w:pPr>
      <w:r>
        <w:t xml:space="preserve">35.</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6">
        <w:r>
          <w:rPr>
            <w:rStyle w:val="Hyperlink"/>
          </w:rPr>
          <w:t xml:space="preserve">10.3390/cells9092030</w:t>
        </w:r>
      </w:hyperlink>
    </w:p>
    <w:bookmarkEnd w:id="137"/>
    <w:bookmarkStart w:id="139" w:name="Xb08e6c3e9b838f57efffe54573ae3f42a71b21a"/>
    <w:p>
      <w:pPr>
        <w:pStyle w:val="Bibliography"/>
      </w:pPr>
      <w:r>
        <w:t xml:space="preserve">36.</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8">
        <w:r>
          <w:rPr>
            <w:rStyle w:val="Hyperlink"/>
          </w:rPr>
          <w:t xml:space="preserve">10.5194/bg-15-6257-2018</w:t>
        </w:r>
      </w:hyperlink>
    </w:p>
    <w:bookmarkEnd w:id="139"/>
    <w:bookmarkStart w:id="140" w:name="ref-kirkLightPhotosynthesisAquatic1983"/>
    <w:p>
      <w:pPr>
        <w:pStyle w:val="Bibliography"/>
      </w:pPr>
      <w:r>
        <w:t xml:space="preserve">37.</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0"/>
    <w:bookmarkStart w:id="142" w:name="ref-fieldPrimaryProductionBiosphere1998"/>
    <w:p>
      <w:pPr>
        <w:pStyle w:val="Bibliography"/>
      </w:pPr>
      <w:r>
        <w:t xml:space="preserve">38.</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1">
        <w:r>
          <w:rPr>
            <w:rStyle w:val="Hyperlink"/>
          </w:rPr>
          <w:t xml:space="preserve">10.1126/science.281.5374.237</w:t>
        </w:r>
      </w:hyperlink>
    </w:p>
    <w:bookmarkEnd w:id="142"/>
    <w:bookmarkStart w:id="144" w:name="X9690ccfed766ee2a3cf0e557a70d94d679d4198"/>
    <w:p>
      <w:pPr>
        <w:pStyle w:val="Bibliography"/>
      </w:pPr>
      <w:r>
        <w:t xml:space="preserve">39.</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3">
        <w:r>
          <w:rPr>
            <w:rStyle w:val="Hyperlink"/>
          </w:rPr>
          <w:t xml:space="preserve">10.1111/j.1365-2427.2008.02119.x</w:t>
        </w:r>
      </w:hyperlink>
    </w:p>
    <w:bookmarkEnd w:id="144"/>
    <w:bookmarkStart w:id="146" w:name="Xe0c4bb43dc94cd8b810a97588f83daf87524538"/>
    <w:p>
      <w:pPr>
        <w:pStyle w:val="Bibliography"/>
      </w:pPr>
      <w:r>
        <w:t xml:space="preserve">40.</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5">
        <w:r>
          <w:rPr>
            <w:rStyle w:val="Hyperlink"/>
          </w:rPr>
          <w:t xml:space="preserve">10.1111/nph.17903</w:t>
        </w:r>
      </w:hyperlink>
    </w:p>
    <w:bookmarkEnd w:id="146"/>
    <w:bookmarkStart w:id="148" w:name="ref-dufresneUnravelingGenomicMosaic2008"/>
    <w:p>
      <w:pPr>
        <w:pStyle w:val="Bibliography"/>
      </w:pPr>
      <w:r>
        <w:t xml:space="preserve">41.</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7">
        <w:r>
          <w:rPr>
            <w:rStyle w:val="Hyperlink"/>
          </w:rPr>
          <w:t xml:space="preserve">10.1186/gb-2008-9-5-r90</w:t>
        </w:r>
      </w:hyperlink>
    </w:p>
    <w:bookmarkEnd w:id="148"/>
    <w:bookmarkStart w:id="149" w:name="Xd584aea8c6775ff5decf8bf398ba031cabfcff2"/>
    <w:p>
      <w:pPr>
        <w:pStyle w:val="Bibliography"/>
      </w:pPr>
      <w:r>
        <w:t xml:space="preserve">42.</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49"/>
    <w:bookmarkStart w:id="151" w:name="X21dee1dcdfece03937df9d374fd0f913ede34fd"/>
    <w:p>
      <w:pPr>
        <w:pStyle w:val="Bibliography"/>
      </w:pPr>
      <w:r>
        <w:t xml:space="preserve">43.</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2">
        <w:r>
          <w:rPr>
            <w:rStyle w:val="Hyperlink"/>
          </w:rPr>
          <w:t xml:space="preserve">10.1126/science.290.5490.291</w:t>
        </w:r>
      </w:hyperlink>
    </w:p>
    <w:bookmarkEnd w:id="153"/>
    <w:bookmarkStart w:id="155"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4">
        <w:r>
          <w:rPr>
            <w:rStyle w:val="Hyperlink"/>
          </w:rPr>
          <w:t xml:space="preserve">10.1029/JC093iC09p10749</w:t>
        </w:r>
      </w:hyperlink>
    </w:p>
    <w:bookmarkEnd w:id="155"/>
    <w:bookmarkStart w:id="157"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6">
        <w:r>
          <w:rPr>
            <w:rStyle w:val="Hyperlink"/>
          </w:rPr>
          <w:t xml:space="preserve">10.1007/978-81-322-2610-9_4</w:t>
        </w:r>
      </w:hyperlink>
    </w:p>
    <w:bookmarkEnd w:id="157"/>
    <w:bookmarkStart w:id="159"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58">
        <w:r>
          <w:rPr>
            <w:rStyle w:val="Hyperlink"/>
          </w:rPr>
          <w:t xml:space="preserve">10.1134/S0026261715020150</w:t>
        </w:r>
      </w:hyperlink>
    </w:p>
    <w:bookmarkEnd w:id="159"/>
    <w:bookmarkStart w:id="161"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0">
        <w:r>
          <w:rPr>
            <w:rStyle w:val="Hyperlink"/>
          </w:rPr>
          <w:t xml:space="preserve">10.1007/978-94-011-0227-8_17</w:t>
        </w:r>
      </w:hyperlink>
    </w:p>
    <w:bookmarkEnd w:id="161"/>
    <w:bookmarkEnd w:id="162"/>
    <w:bookmarkEnd w:id="16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2024-02-03T16:26:16Z</dcterms:created>
  <dcterms:modified xsi:type="dcterms:W3CDTF">2024-02-03T16:26:16Z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